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tribunal-do-trabalho-de-lisboa"/>
    <w:p>
      <w:pPr>
        <w:pStyle w:val="Heading2"/>
      </w:pPr>
      <w:r>
        <w:t xml:space="preserve">Tribunal do Trabalho de Lisboa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</w:p>
    <w:bookmarkStart w:id="9" w:name="X4a380328b89085a58c2b557eabbdadcc9151464"/>
    <w:p>
      <w:pPr>
        <w:pStyle w:val="Heading3"/>
      </w:pPr>
      <w:r>
        <w:rPr>
          <w:b/>
          <w:bCs/>
        </w:rPr>
        <w:t xml:space="preserve">Petição ao Juízo – Pedido de Julgamento Antecipado</w:t>
      </w:r>
    </w:p>
    <w:p>
      <w:pPr>
        <w:pStyle w:val="FirstParagraph"/>
      </w:pPr>
      <w:r>
        <w:rPr>
          <w:b/>
          <w:bCs/>
        </w:rPr>
        <w:t xml:space="preserve">Requerente:</w:t>
      </w:r>
      <w:r>
        <w:t xml:space="preserve"> </w:t>
      </w:r>
      <w:r>
        <w:t xml:space="preserve">José Manuel da Silva, trabalhador, portador do NIF 123 456 789, residente em Rua da Boavista, 45, 3.º Dto., 1050‑067 Lisboa.</w:t>
      </w:r>
      <w:r>
        <w:br/>
      </w:r>
      <w:r>
        <w:rPr>
          <w:b/>
          <w:bCs/>
        </w:rPr>
        <w:t xml:space="preserve">Representado por:</w:t>
      </w:r>
      <w:r>
        <w:t xml:space="preserve"> </w:t>
      </w:r>
      <w:r>
        <w:t xml:space="preserve">Dr. António Ribeiro, advogado, inscrito na OAB/Lisboa sob o nº OA 12345, com escritório na Av. da República, 45, 5.º Esq., 1050‑190 Lisboa.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XYZ – Lda., pessoa coletiva, NIPC 504 321 987, sede em Rua de Almirante Gago Coutinho, 12, 4.º Esq., 4100‑262 Porto, representada nos autos por Dra. Sofia Carvalho, advogada (OA 67890).</w:t>
      </w:r>
    </w:p>
    <w:p>
      <w:pPr>
        <w:pStyle w:val="BodyText"/>
      </w:pP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os-factos"/>
    <w:p>
      <w:pPr>
        <w:pStyle w:val="Heading3"/>
      </w:pPr>
      <w:r>
        <w:t xml:space="preserve">I. Exposição dos Factos</w:t>
      </w:r>
    </w:p>
    <w:p>
      <w:pPr>
        <w:numPr>
          <w:ilvl w:val="0"/>
          <w:numId w:val="1001"/>
        </w:numPr>
      </w:pPr>
      <w:r>
        <w:t xml:space="preserve">O Requerente foi admitido pela Requerida em 10 de março de 2014, exercendo a função de</w:t>
      </w:r>
      <w:r>
        <w:t xml:space="preserve"> </w:t>
      </w:r>
      <w:r>
        <w:rPr>
          <w:b/>
          <w:bCs/>
        </w:rPr>
        <w:t xml:space="preserve">Analista de Sistemas</w:t>
      </w:r>
      <w:r>
        <w:t xml:space="preserve">, com antiguidade de</w:t>
      </w:r>
      <w:r>
        <w:t xml:space="preserve"> </w:t>
      </w:r>
      <w:r>
        <w:rPr>
          <w:b/>
          <w:bCs/>
        </w:rPr>
        <w:t xml:space="preserve">doze (12) anos</w:t>
      </w:r>
      <w:r>
        <w:t xml:space="preserve"> </w:t>
      </w:r>
      <w:r>
        <w:t xml:space="preserve">à data da cessação do contrato.</w:t>
      </w:r>
    </w:p>
    <w:p>
      <w:pPr>
        <w:numPr>
          <w:ilvl w:val="0"/>
          <w:numId w:val="1001"/>
        </w:numPr>
      </w:pPr>
      <w:r>
        <w:t xml:space="preserve">Em 20 de outubro de 2025, o Requerente recebeu, por via eletrónica, comunicação da Direção de Recursos Humanos da XYZ – Lda., a informar da sua</w:t>
      </w:r>
      <w:r>
        <w:t xml:space="preserve"> </w:t>
      </w:r>
      <w:r>
        <w:rPr>
          <w:b/>
          <w:bCs/>
        </w:rPr>
        <w:t xml:space="preserve">dispensa por justa causa</w:t>
      </w:r>
      <w:r>
        <w:t xml:space="preserve">, sob o fundamento de “uso indevido do email corporativo” e “violação do dever de lealdade”.</w:t>
      </w:r>
    </w:p>
    <w:p>
      <w:pPr>
        <w:numPr>
          <w:ilvl w:val="0"/>
          <w:numId w:val="1001"/>
        </w:numPr>
      </w:pPr>
      <w:r>
        <w:t xml:space="preserve">O ato de despedimento foi comunicado</w:t>
      </w:r>
      <w:r>
        <w:t xml:space="preserve"> </w:t>
      </w:r>
      <w:r>
        <w:rPr>
          <w:b/>
          <w:bCs/>
        </w:rPr>
        <w:t xml:space="preserve">unicamente por email interno</w:t>
      </w:r>
      <w:r>
        <w:t xml:space="preserve">, sem a entrega prévia de</w:t>
      </w:r>
      <w:r>
        <w:t xml:space="preserve"> </w:t>
      </w:r>
      <w:r>
        <w:rPr>
          <w:b/>
          <w:bCs/>
        </w:rPr>
        <w:t xml:space="preserve">carta de aviso</w:t>
      </w:r>
      <w:r>
        <w:t xml:space="preserve"> </w:t>
      </w:r>
      <w:r>
        <w:t xml:space="preserve">nem de</w:t>
      </w:r>
      <w:r>
        <w:t xml:space="preserve"> </w:t>
      </w:r>
      <w:r>
        <w:rPr>
          <w:b/>
          <w:bCs/>
        </w:rPr>
        <w:t xml:space="preserve">cópia de prova documental</w:t>
      </w:r>
      <w:r>
        <w:t xml:space="preserve"> </w:t>
      </w:r>
      <w:r>
        <w:t xml:space="preserve">que comprovasse a alegada infração.</w:t>
      </w:r>
    </w:p>
    <w:p>
      <w:pPr>
        <w:numPr>
          <w:ilvl w:val="0"/>
          <w:numId w:val="1001"/>
        </w:numPr>
      </w:pPr>
      <w:r>
        <w:t xml:space="preserve">O Requerente reconhece que, ocasionalmente, utilizou a caixa de correio institucional para o envio de mensagens de natureza</w:t>
      </w:r>
      <w:r>
        <w:t xml:space="preserve"> </w:t>
      </w:r>
      <w:r>
        <w:rPr>
          <w:b/>
          <w:bCs/>
        </w:rPr>
        <w:t xml:space="preserve">pessoal</w:t>
      </w:r>
      <w:r>
        <w:t xml:space="preserve"> </w:t>
      </w:r>
      <w:r>
        <w:t xml:space="preserve">(ex.: contactos com familiares e amigos), mas</w:t>
      </w:r>
      <w:r>
        <w:t xml:space="preserve"> </w:t>
      </w:r>
      <w:r>
        <w:rPr>
          <w:b/>
          <w:bCs/>
        </w:rPr>
        <w:t xml:space="preserve">nunca</w:t>
      </w:r>
      <w:r>
        <w:t xml:space="preserve"> </w:t>
      </w:r>
      <w:r>
        <w:t xml:space="preserve">divulgou informação confidencial, nem praticou atos que pudessem lesar os interesses da empresa.</w:t>
      </w:r>
    </w:p>
    <w:p>
      <w:pPr>
        <w:numPr>
          <w:ilvl w:val="0"/>
          <w:numId w:val="1001"/>
        </w:numPr>
      </w:pPr>
      <w:r>
        <w:t xml:space="preserve">A Requerida não observou o procedimento previsto no</w:t>
      </w:r>
      <w:r>
        <w:t xml:space="preserve"> </w:t>
      </w:r>
      <w:r>
        <w:rPr>
          <w:b/>
          <w:bCs/>
        </w:rPr>
        <w:t xml:space="preserve">artigo 351.º do Código do Trabalho</w:t>
      </w:r>
      <w:r>
        <w:t xml:space="preserve">, que exige a comunicação escrita ao trabalhador, com indicação dos factos que fundamentam a justa causa e a concessão de oportunidade de defesa prévia.</w:t>
      </w:r>
    </w:p>
    <w:p>
      <w:pPr>
        <w:numPr>
          <w:ilvl w:val="0"/>
          <w:numId w:val="1001"/>
        </w:numPr>
      </w:pPr>
      <w:r>
        <w:t xml:space="preserve">Todas as provas relevantes (cópias dos emails contestados, registo de acessos ao servidor, declarações de colegas e de técnicos de TI) foram já juntadas aos autos, nos autos do presente processo, conforme</w:t>
      </w:r>
      <w:r>
        <w:t xml:space="preserve"> </w:t>
      </w:r>
      <w:r>
        <w:rPr>
          <w:b/>
          <w:bCs/>
        </w:rPr>
        <w:t xml:space="preserve">Anexo I</w:t>
      </w:r>
      <w:r>
        <w:t xml:space="preserve">.</w:t>
      </w:r>
    </w:p>
    <w:bookmarkEnd w:id="10"/>
    <w:bookmarkStart w:id="15" w:name="ii.-fundamentação-jurídica"/>
    <w:p>
      <w:pPr>
        <w:pStyle w:val="Heading3"/>
      </w:pPr>
      <w:r>
        <w:t xml:space="preserve">II. Fundamentação Jurídica</w:t>
      </w:r>
    </w:p>
    <w:bookmarkStart w:id="11" w:name="inexistência-de-justa-causa"/>
    <w:p>
      <w:pPr>
        <w:pStyle w:val="Heading4"/>
      </w:pPr>
      <w:r>
        <w:t xml:space="preserve">1. Inexistência de Justa Causa</w:t>
      </w:r>
    </w:p>
    <w:p>
      <w:pPr>
        <w:pStyle w:val="Compact"/>
        <w:numPr>
          <w:ilvl w:val="0"/>
          <w:numId w:val="1002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351.º, alínea b) do Código do Trabalho</w:t>
      </w:r>
      <w:r>
        <w:t xml:space="preserve">, a justa causa deve decorrer de violação grave dos deveres do trabalhador, nomeadamente o dever de lealdade.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 jurisprudência do Tribunal Supremo (Acórdão n.º 123/21.5T8LSB, de 12 de junho de 2021) estabelece que</w:t>
      </w:r>
      <w:r>
        <w:t xml:space="preserve"> </w:t>
      </w:r>
      <w:r>
        <w:rPr>
          <w:b/>
          <w:bCs/>
        </w:rPr>
        <w:t xml:space="preserve">a mera utilização ocasional de email corporativo para fins pessoais, sem divulgação de informação sensível, não constitui violação grave</w:t>
      </w:r>
      <w:r>
        <w:t xml:space="preserve">.</w:t>
      </w:r>
    </w:p>
    <w:bookmarkEnd w:id="11"/>
    <w:bookmarkStart w:id="12" w:name="X470200f2dd3598bbedf4aceceacacdd44002c5c"/>
    <w:p>
      <w:pPr>
        <w:pStyle w:val="Heading4"/>
      </w:pPr>
      <w:r>
        <w:t xml:space="preserve">2. Falta de Cumprimento dos Requisitos Formais</w:t>
      </w:r>
    </w:p>
    <w:p>
      <w:pPr>
        <w:pStyle w:val="Compact"/>
        <w:numPr>
          <w:ilvl w:val="0"/>
          <w:numId w:val="1003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351.º, n.º 2</w:t>
      </w:r>
      <w:r>
        <w:t xml:space="preserve">, impõe a comunicação escrita ao trabalhador, com descrição pormenorizada dos factos e a concessão de prazo para resposta.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O despedimento foi comunicado apenas por email interno, sem assinatura nem referência a documentos que comprovassem a alegada infração, violando, assim, o princípio do</w:t>
      </w:r>
      <w:r>
        <w:t xml:space="preserve"> </w:t>
      </w:r>
      <w:r>
        <w:rPr>
          <w:b/>
          <w:bCs/>
        </w:rPr>
        <w:t xml:space="preserve">contraditório</w:t>
      </w:r>
      <w:r>
        <w:t xml:space="preserve"> </w:t>
      </w:r>
      <w:r>
        <w:t xml:space="preserve">e o direito ao</w:t>
      </w:r>
      <w:r>
        <w:t xml:space="preserve"> </w:t>
      </w:r>
      <w:r>
        <w:rPr>
          <w:b/>
          <w:bCs/>
        </w:rPr>
        <w:t xml:space="preserve">devido processo legal</w:t>
      </w:r>
      <w:r>
        <w:t xml:space="preserve"> </w:t>
      </w:r>
      <w:r>
        <w:t xml:space="preserve">(artigo 20.º da Constituição da República Portuguesa).</w:t>
      </w:r>
    </w:p>
    <w:bookmarkEnd w:id="12"/>
    <w:bookmarkStart w:id="13" w:name="desproporcionalidade-da-sanção"/>
    <w:p>
      <w:pPr>
        <w:pStyle w:val="Heading4"/>
      </w:pPr>
      <w:r>
        <w:t xml:space="preserve">3. Desproporcionalidade da Sanção</w:t>
      </w:r>
    </w:p>
    <w:p>
      <w:pPr>
        <w:pStyle w:val="Compact"/>
        <w:numPr>
          <w:ilvl w:val="0"/>
          <w:numId w:val="1004"/>
        </w:numPr>
      </w:pPr>
      <w:r>
        <w:t xml:space="preserve">Ainda que se admitisse a existência de infração, a sanção de despedimento imediato revela‑se</w:t>
      </w:r>
      <w:r>
        <w:t xml:space="preserve"> </w:t>
      </w:r>
      <w:r>
        <w:rPr>
          <w:b/>
          <w:bCs/>
        </w:rPr>
        <w:t xml:space="preserve">desproporcional</w:t>
      </w:r>
      <w:r>
        <w:t xml:space="preserve"> </w:t>
      </w:r>
      <w:r>
        <w:t xml:space="preserve">face à natureza da conduta (simples uso pessoal do email) e à inexistência de advertência prévia, contrariando o princípio da</w:t>
      </w:r>
      <w:r>
        <w:t xml:space="preserve"> </w:t>
      </w:r>
      <w:r>
        <w:rPr>
          <w:b/>
          <w:bCs/>
        </w:rPr>
        <w:t xml:space="preserve">gradualidade das sanções disciplinares</w:t>
      </w:r>
      <w:r>
        <w:t xml:space="preserve"> </w:t>
      </w:r>
      <w:r>
        <w:t xml:space="preserve">(artigo 353.º, n.º 1).</w:t>
      </w:r>
    </w:p>
    <w:bookmarkEnd w:id="13"/>
    <w:bookmarkStart w:id="14" w:name="direito-ao-julgamento-antecipado"/>
    <w:p>
      <w:pPr>
        <w:pStyle w:val="Heading4"/>
      </w:pPr>
      <w:r>
        <w:t xml:space="preserve">4. Direito ao Julgamento Antecipado</w:t>
      </w:r>
    </w:p>
    <w:p>
      <w:pPr>
        <w:pStyle w:val="Compact"/>
        <w:numPr>
          <w:ilvl w:val="0"/>
          <w:numId w:val="1005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562.º, alínea b) do Código de Processo Civil</w:t>
      </w:r>
      <w:r>
        <w:t xml:space="preserve">, é admissível o julgamento antecipado quando a matéria de facto já está suficientemente provada e não há necessidade de produção de novas provas.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As provas já produzidas (cópias de emails, registo de acessos, depoimentos) são</w:t>
      </w:r>
      <w:r>
        <w:t xml:space="preserve"> </w:t>
      </w:r>
      <w:r>
        <w:rPr>
          <w:b/>
          <w:bCs/>
        </w:rPr>
        <w:t xml:space="preserve">inequívocas</w:t>
      </w:r>
      <w:r>
        <w:t xml:space="preserve"> </w:t>
      </w:r>
      <w:r>
        <w:t xml:space="preserve">e permitem ao Juízo formar a convicção de forma sumária.</w:t>
      </w:r>
    </w:p>
    <w:bookmarkEnd w:id="14"/>
    <w:bookmarkEnd w:id="15"/>
    <w:bookmarkStart w:id="16" w:name="iii.-pedido"/>
    <w:p>
      <w:pPr>
        <w:pStyle w:val="Heading3"/>
      </w:pPr>
      <w:r>
        <w:t xml:space="preserve">III. Pedido</w:t>
      </w:r>
    </w:p>
    <w:p>
      <w:pPr>
        <w:pStyle w:val="FirstParagraph"/>
      </w:pPr>
      <w:r>
        <w:t xml:space="preserve">Face ao exposto, o Requerente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60"/>
        <w:gridCol w:w="5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do julgamento antecipado</w:t>
            </w:r>
            <w:r>
              <w:t xml:space="preserve">, nos termos do artigo 562.º, alínea b) do CPC, com a consequente declaração de</w:t>
            </w:r>
            <w:r>
              <w:t xml:space="preserve"> </w:t>
            </w:r>
            <w:r>
              <w:rPr>
                <w:b/>
                <w:bCs/>
              </w:rPr>
              <w:t xml:space="preserve">nulidade do despedimento</w:t>
            </w:r>
            <w:r>
              <w:t xml:space="preserve"> </w:t>
            </w:r>
            <w:r>
              <w:t xml:space="preserve">por falta de justa causa e de cumprimento dos requisitos formais.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A condenação da Requerida ao pagamento de</w:t>
            </w:r>
            <w:r>
              <w:t xml:space="preserve"> </w:t>
            </w:r>
            <w:r>
              <w:rPr>
                <w:b/>
                <w:bCs/>
              </w:rPr>
              <w:t xml:space="preserve">indenização compensatória</w:t>
            </w:r>
            <w:r>
              <w:t xml:space="preserve"> </w:t>
            </w:r>
            <w:r>
              <w:t xml:space="preserve">equivalente a</w:t>
            </w:r>
            <w:r>
              <w:t xml:space="preserve"> </w:t>
            </w:r>
            <w:r>
              <w:rPr>
                <w:b/>
                <w:bCs/>
              </w:rPr>
              <w:t xml:space="preserve">12 (doze) meses de salário base</w:t>
            </w:r>
            <w:r>
              <w:t xml:space="preserve">, no valor de</w:t>
            </w:r>
            <w:r>
              <w:t xml:space="preserve"> </w:t>
            </w:r>
            <w:r>
              <w:rPr>
                <w:b/>
                <w:bCs/>
              </w:rPr>
              <w:t xml:space="preserve">€ 30 000,00</w:t>
            </w:r>
            <w:r>
              <w:t xml:space="preserve">, acrescido de juros de mora à taxa legal a partir da data do despedimento.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 condenação da Requerida ao pagamento de</w:t>
            </w:r>
            <w:r>
              <w:t xml:space="preserve"> </w:t>
            </w:r>
            <w:r>
              <w:rPr>
                <w:b/>
                <w:bCs/>
              </w:rPr>
              <w:t xml:space="preserve">indenização por danos morais</w:t>
            </w:r>
            <w:r>
              <w:t xml:space="preserve">, no montante de</w:t>
            </w:r>
            <w:r>
              <w:t xml:space="preserve"> </w:t>
            </w:r>
            <w:r>
              <w:rPr>
                <w:b/>
                <w:bCs/>
              </w:rPr>
              <w:t xml:space="preserve">€ 5 000,00</w:t>
            </w:r>
            <w:r>
              <w:t xml:space="preserve">, em virtude da violação do direito ao trabalho e ao princípio da dignidade da pessoa humana.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A condenação da Requerida ao pagamento das</w:t>
            </w:r>
            <w:r>
              <w:t xml:space="preserve"> </w:t>
            </w:r>
            <w:r>
              <w:rPr>
                <w:b/>
                <w:bCs/>
              </w:rPr>
              <w:t xml:space="preserve">custas processuais</w:t>
            </w:r>
            <w:r>
              <w:t xml:space="preserve"> </w:t>
            </w:r>
            <w:r>
              <w:t xml:space="preserve">e dos</w:t>
            </w:r>
            <w:r>
              <w:t xml:space="preserve"> </w:t>
            </w:r>
            <w:r>
              <w:rPr>
                <w:b/>
                <w:bCs/>
              </w:rPr>
              <w:t xml:space="preserve">honorários de advogado</w:t>
            </w:r>
            <w:r>
              <w:t xml:space="preserve">, nos termos do artigo 21.º do Código de Processo Civil.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A produção, se necessário, de</w:t>
            </w:r>
            <w:r>
              <w:t xml:space="preserve"> </w:t>
            </w:r>
            <w:r>
              <w:rPr>
                <w:b/>
                <w:bCs/>
              </w:rPr>
              <w:t xml:space="preserve">prova testemunhal</w:t>
            </w:r>
            <w:r>
              <w:t xml:space="preserve"> </w:t>
            </w:r>
            <w:r>
              <w:t xml:space="preserve">(lista anexa) e</w:t>
            </w:r>
            <w:r>
              <w:t xml:space="preserve"> </w:t>
            </w:r>
            <w:r>
              <w:rPr>
                <w:b/>
                <w:bCs/>
              </w:rPr>
              <w:t xml:space="preserve">prova pericial informática</w:t>
            </w:r>
            <w:r>
              <w:t xml:space="preserve">, nos termos do artigo 370.º do CPC.</w:t>
            </w:r>
          </w:p>
        </w:tc>
      </w:tr>
    </w:tbl>
    <w:bookmarkEnd w:id="16"/>
    <w:bookmarkStart w:id="17" w:name="iv.-provas-já-produzidas-anexo-i"/>
    <w:p>
      <w:pPr>
        <w:pStyle w:val="Heading3"/>
      </w:pPr>
      <w:r>
        <w:t xml:space="preserve">IV. Provas já produzidas (Anexo I)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79"/>
        <w:gridCol w:w="3863"/>
        <w:gridCol w:w="347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da Prova</w:t>
            </w:r>
          </w:p>
        </w:tc>
        <w:tc>
          <w:tcPr/>
          <w:p>
            <w:pPr>
              <w:pStyle w:val="Compact"/>
            </w:pPr>
            <w:r>
              <w:t xml:space="preserve">Data de Produção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Cópias dos emails enviados pelo Requerente entre 1.º e 31 de setembro de 2025</w:t>
            </w:r>
          </w:p>
        </w:tc>
        <w:tc>
          <w:tcPr/>
          <w:p>
            <w:pPr>
              <w:pStyle w:val="Compact"/>
            </w:pPr>
            <w:r>
              <w:t xml:space="preserve">10 de janeiro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Registo de acessos ao servidor de correio da XYZ – Lda. (log de IP)</w:t>
            </w:r>
          </w:p>
        </w:tc>
        <w:tc>
          <w:tcPr/>
          <w:p>
            <w:pPr>
              <w:pStyle w:val="Compact"/>
            </w:pPr>
            <w:r>
              <w:t xml:space="preserve">12 de janeiro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Declarações testemunhais de três colegas de trabalho (Ana Pereira, Luís Costa, Marta Silva)</w:t>
            </w:r>
          </w:p>
        </w:tc>
        <w:tc>
          <w:tcPr/>
          <w:p>
            <w:pPr>
              <w:pStyle w:val="Compact"/>
            </w:pPr>
            <w:r>
              <w:t xml:space="preserve">14 de janeiro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Laudo pericial preliminar de TI (empresa ForensicTech, Lda.)</w:t>
            </w:r>
          </w:p>
        </w:tc>
        <w:tc>
          <w:tcPr/>
          <w:p>
            <w:pPr>
              <w:pStyle w:val="Compact"/>
            </w:pPr>
            <w:r>
              <w:t xml:space="preserve">20 de janeiro de 2026</w:t>
            </w:r>
          </w:p>
        </w:tc>
      </w:tr>
    </w:tbl>
    <w:bookmarkEnd w:id="17"/>
    <w:bookmarkStart w:id="18" w:name="v.-requerimentos"/>
    <w:p>
      <w:pPr>
        <w:pStyle w:val="Heading3"/>
      </w:pPr>
      <w:r>
        <w:t xml:space="preserve">V. Requerimentos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Juntada</w:t>
      </w:r>
      <w:r>
        <w:t xml:space="preserve"> </w:t>
      </w:r>
      <w:r>
        <w:t xml:space="preserve">de todos os documentos acima referidos ao processo.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Intimação</w:t>
      </w:r>
      <w:r>
        <w:t xml:space="preserve"> </w:t>
      </w:r>
      <w:r>
        <w:t xml:space="preserve">da Requerida para que, caso pretenda, apresente impugnação ao pedido de julgamento antecipado no prazo de</w:t>
      </w:r>
      <w:r>
        <w:t xml:space="preserve"> </w:t>
      </w:r>
      <w:r>
        <w:rPr>
          <w:b/>
          <w:bCs/>
        </w:rPr>
        <w:t xml:space="preserve">5 (cinco) dias úteis</w:t>
      </w:r>
      <w:r>
        <w:t xml:space="preserve">, nos termos do artigo 562.º, n.º 2, do CPC.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Concessão</w:t>
      </w:r>
      <w:r>
        <w:t xml:space="preserve"> </w:t>
      </w:r>
      <w:r>
        <w:t xml:space="preserve">de vista ao Requerente para eventual apresentação de réplica.</w:t>
      </w:r>
    </w:p>
    <w:bookmarkEnd w:id="18"/>
    <w:bookmarkStart w:id="19" w:name="vi.-termos-em-que-pede-deferimento"/>
    <w:p>
      <w:pPr>
        <w:pStyle w:val="Heading3"/>
      </w:pPr>
      <w:r>
        <w:t xml:space="preserve">VI. Termos em que pede deferimento</w:t>
      </w:r>
    </w:p>
    <w:p>
      <w:pPr>
        <w:pStyle w:val="FirstParagraph"/>
      </w:pPr>
      <w:r>
        <w:t xml:space="preserve">Pelo exposto, requer a V. Exa. que se digne</w:t>
      </w:r>
      <w:r>
        <w:t xml:space="preserve"> </w:t>
      </w:r>
      <w:r>
        <w:rPr>
          <w:b/>
          <w:bCs/>
        </w:rPr>
        <w:t xml:space="preserve">deferir o presente pedido de julgamento antecipado</w:t>
      </w:r>
      <w:r>
        <w:t xml:space="preserve">, julgando procedentes os pedidos constantes da alínea 1 da presente petição, nos termos da lei.</w:t>
      </w:r>
    </w:p>
    <w:p>
      <w:pPr>
        <w:pStyle w:val="BodyText"/>
      </w:pPr>
      <w:r>
        <w:rPr>
          <w:b/>
          <w:bCs/>
        </w:rP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António Ribeiro</w:t>
      </w:r>
      <w:r>
        <w:br/>
      </w:r>
      <w:r>
        <w:t xml:space="preserve">Advogado – OAB/Lisboa nº OA 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Anexos:</w:t>
      </w:r>
      <w:r>
        <w:br/>
      </w:r>
      <w:r>
        <w:t xml:space="preserve">- Anexo I – Provas já produzidas (cópias de emails, registo de acessos, declarações testemunhais, laudo pericial).</w:t>
      </w:r>
      <w:r>
        <w:br/>
      </w:r>
      <w:r>
        <w:t xml:space="preserve">- Anexo II – Lista de testemunhas a ser ouvida (se necessário).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